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Ludvika kommunfullmäktige</w:t>
      </w:r>
    </w:p>
    <w:p>
      <w:pPr>
        <w:pStyle w:val="Heading1"/>
      </w:pPr>
      <w:r>
        <w:t xml:space="preserve">Tidiga läs- och kunskapsinsatser i Ludvikas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Ludvika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Ludvikas meritvärde årskurs 9 ligger på 215 poäng enligt Kolada 2024, under rikssnittet 230. Andelen elever som når kunskapskraven i svenska är endast 78 %. Tidiga insatser i årskurs 1–3 har visat sig höja resultaten långsiktigt enligt Skolverket. Kommunen saknar systematiskt arbete med lästräning och specialpedagogik.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Ludvika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screening av läsförståelse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minst tre extra speciallärare med inriktning på tidig läsinlärning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1,5 mnkr årligen för läromedel och digitala verktyg i lågstadiet.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delårsrapporten 2028.</w:t>
      </w:r>
    </w:p>
    <w:p>
      <w:pPr>
        <w:spacing w:before="360"/>
      </w:pPr>
    </w:p>
    <w:p>
      <w:r>
        <w:t xml:space="preserve">Ludvika,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Ludvika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2026-07-14T04:22:45.785Z</dcterms:created>
  <dcterms:modified xsi:type="dcterms:W3CDTF">2026-07-14T04:22:45.785Z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